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附件一：</w:t>
      </w:r>
    </w:p>
    <w:p>
      <w:pPr>
        <w:jc w:val="center"/>
        <w:rPr>
          <w:rFonts w:hint="eastAsia" w:ascii="方正小标宋简体" w:hAnsi="方正小标宋简体" w:eastAsia="方正小标宋简体" w:cs="方正小标宋简体"/>
          <w:b w:val="0"/>
          <w:bCs w:val="0"/>
          <w:sz w:val="32"/>
          <w:szCs w:val="32"/>
          <w:lang w:val="en-US" w:eastAsia="zh-CN"/>
        </w:rPr>
      </w:pPr>
      <w:bookmarkStart w:id="0" w:name="_GoBack"/>
      <w:r>
        <w:rPr>
          <w:rFonts w:hint="eastAsia" w:ascii="方正小标宋简体" w:hAnsi="方正小标宋简体" w:eastAsia="方正小标宋简体" w:cs="方正小标宋简体"/>
          <w:b w:val="0"/>
          <w:bCs w:val="0"/>
          <w:sz w:val="44"/>
          <w:szCs w:val="44"/>
          <w:lang w:val="en-US" w:eastAsia="zh-CN"/>
        </w:rPr>
        <w:t>政策学习资料目录</w:t>
      </w:r>
    </w:p>
    <w:bookmarkEnd w:id="0"/>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1、《国务院应对新型冠状病毒感染肺炎疫情联防联控机制关于做好新冠肺炎疫情常态化防控工作的指导意见》（国发明电〔2020〕14号） </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2、《国家体育总局统筹推进新冠肺炎疫情防控与体育工作领导小组关于有序恢复体育赛事活动的指导意见》</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3、《山西省体育局关于有序推进公共体育场馆对外开放工作的通知》（晋体办函〔2020〕25号）</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4、《关于印发&lt;晋中市常态化新冠肺炎疫情防控工作实施方案&gt;的通知》（市疫情防控办〔2020〕122号）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C6719"/>
    <w:rsid w:val="07EC6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2020-06-10T01:05:00Z</dcterms:created>
  <dc:creator>lenovo</dc:creator>
  <cp:lastModifiedBy>lenovo</cp:lastModifiedBy>
  <dcterms:modified xsi:type="dcterms:W3CDTF">2020-06-10T01:05:29Z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